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3506</w:t>
        <w:t xml:space="preserve">.  </w:t>
      </w:r>
      <w:r>
        <w:rPr>
          <w:b/>
        </w:rPr>
        <w:t xml:space="preserve">Damages occasioned by acts or omissions</w:t>
      </w:r>
    </w:p>
    <w:p>
      <w:pPr>
        <w:jc w:val="both"/>
        <w:spacing w:before="100" w:after="100"/>
        <w:ind w:start="360"/>
        <w:ind w:firstLine="360"/>
      </w:pPr>
      <w:r>
        <w:rPr/>
      </w:r>
      <w:r>
        <w:rPr/>
      </w:r>
      <w:r>
        <w:t xml:space="preserve">No person shall be responsible for subsequent damages to another occasioned by an act or omission in compliance with this chapter.</w:t>
      </w:r>
      <w:r>
        <w:t xml:space="preserve">  </w:t>
      </w:r>
      <w:r xmlns:wp="http://schemas.openxmlformats.org/drawingml/2010/wordprocessingDrawing" xmlns:w15="http://schemas.microsoft.com/office/word/2012/wordml">
        <w:rPr>
          <w:rFonts w:ascii="Arial" w:hAnsi="Arial" w:cs="Arial"/>
          <w:sz w:val="22"/>
          <w:szCs w:val="22"/>
        </w:rPr>
        <w:t xml:space="preserve">[PL 1975, c. 558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§3506. Damages occasioned by acts or omissions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§3506. Damages occasioned by acts or omissions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§3506. DAMAGES OCCASIONED BY ACTS OR OMISSIONS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