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§4202. CRITICAL INCIDENT STRESS MANAGEMENT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