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1418-I</w:t>
        <w:t xml:space="preserve">.  </w:t>
      </w:r>
      <w:r>
        <w:rPr>
          <w:b/>
        </w:rPr>
        <w:t xml:space="preserve">Construction; remodeling; planning for vending facility</w:t>
      </w:r>
    </w:p>
    <w:p>
      <w:pPr>
        <w:jc w:val="both"/>
        <w:spacing w:before="100" w:after="100"/>
        <w:ind w:start="360"/>
        <w:ind w:firstLine="360"/>
      </w:pPr>
      <w:r>
        <w:rPr/>
      </w:r>
      <w:r>
        <w:rPr/>
      </w:r>
      <w:r>
        <w:t xml:space="preserve">To carry out the purposes of this article, when new construction, remodeling, leasing, acquisition or improvement of public buildings or properties is authorized, the agency directing that construction, remodeling, leasing, acquisition or improvement shall, when the size of the building or property warrants, make available suitable space and facilities for vending facilities to be operated in the building or property by blind persons.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§1418-I. Construction; remodeling; planning for vending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§1418-I. Construction; remodeling; planning for vending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§1418-I. CONSTRUCTION; REMODELING; PLANNING FOR VENDING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