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a course of training within 2 years following the separation from railroad employment as a result of acquisition of a railroad described in section 2072.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§135 (COR).]</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RR 2023, c. 2, Pt. E,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§2075. New career training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New career training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§2075. NEW CAREER TRAINING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