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Rules</w:t>
      </w:r>
    </w:p>
    <w:p>
      <w:pPr>
        <w:jc w:val="both"/>
        <w:spacing w:before="100" w:after="100"/>
        <w:ind w:start="360"/>
        <w:ind w:firstLine="360"/>
      </w:pPr>
      <w:r>
        <w:rPr/>
      </w:r>
      <w:r>
        <w:rPr/>
      </w:r>
      <w:r>
        <w:t xml:space="preserve">The Board of Occupational Safety and Health shall adopt rules to carry out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50, §1 (AMD).]</w:t>
      </w:r>
    </w:p>
    <w:p>
      <w:pPr>
        <w:jc w:val="both"/>
        <w:spacing w:before="100" w:after="100"/>
        <w:ind w:start="360"/>
        <w:ind w:firstLine="360"/>
      </w:pPr>
      <w:r>
        <w:rPr/>
      </w:r>
      <w:r>
        <w:rPr/>
      </w:r>
      <w:r>
        <w:t xml:space="preserve">The Board of Occupational Safety and Health may issue advisory rulings in accordance with </w:t>
      </w:r>
      <w:r>
        <w:t>Title 5, section 9001</w:t>
      </w:r>
      <w:r>
        <w:t xml:space="preserve"> with respect to the applicability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1993, c. 50, §1 (AMD). PL 1993,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