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Requirements</w:t>
      </w:r>
    </w:p>
    <w:p>
      <w:pPr>
        <w:jc w:val="both"/>
        <w:spacing w:before="100" w:after="100"/>
        <w:ind w:start="360"/>
        <w:ind w:firstLine="360"/>
      </w:pPr>
      <w:r>
        <w:rPr/>
      </w:r>
      <w:r>
        <w:rPr/>
      </w:r>
      <w:r>
        <w:t xml:space="preserve">A construction employer constructing a generation facility shall employ apprentices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w:pPr>
        <w:jc w:val="both"/>
        <w:spacing w:before="100" w:after="100"/>
        <w:ind w:start="360"/>
        <w:ind w:firstLine="360"/>
      </w:pPr>
      <w:r>
        <w:rPr>
          <w:b/>
        </w:rPr>
        <w:t>1</w:t>
        <w:t xml:space="preserve">.  </w:t>
      </w:r>
      <w:r>
        <w:rPr>
          <w:b/>
        </w:rPr>
        <w:t xml:space="preserve">Percentages.</w:t>
        <w:t xml:space="preserve"> </w:t>
      </w:r>
      <w:r>
        <w:t xml:space="preserve"> </w:t>
      </w:r>
      <w:r>
        <w:t xml:space="preserve">A construction employer shall, to the extent qualified apprentices are determined to be available in accordance with rules adopted by the department, employ a number of apprentices that equals at least:</w:t>
      </w:r>
    </w:p>
    <w:p>
      <w:pPr>
        <w:jc w:val="both"/>
        <w:spacing w:before="100" w:after="0"/>
        <w:ind w:start="720"/>
      </w:pPr>
      <w:r>
        <w:rPr/>
        <w:t>A</w:t>
        <w:t xml:space="preserve">.  </w:t>
      </w:r>
      <w:r>
        <w:rPr/>
      </w:r>
      <w:r>
        <w:t xml:space="preserve">If construction of the generation facility begins on or after January 1, 2021 and before January 1, 2025, 10% of all persons employed in the construction;</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w:pPr>
        <w:jc w:val="both"/>
        <w:spacing w:before="100" w:after="0"/>
        <w:ind w:start="720"/>
      </w:pPr>
      <w:r>
        <w:rPr/>
        <w:t>B</w:t>
        <w:t xml:space="preserve">.  </w:t>
      </w:r>
      <w:r>
        <w:rPr/>
      </w:r>
      <w:r>
        <w:t xml:space="preserve">If construction of the generation facility begins on or after January 1, 2025 and before January 1, 2027, 17.5% of all persons employed in the construction; and</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w:pPr>
        <w:jc w:val="both"/>
        <w:spacing w:before="100" w:after="0"/>
        <w:ind w:start="720"/>
      </w:pPr>
      <w:r>
        <w:rPr/>
        <w:t>C</w:t>
        <w:t xml:space="preserve">.  </w:t>
      </w:r>
      <w:r>
        <w:rPr/>
      </w:r>
      <w:r>
        <w:t xml:space="preserve">If construction of the generation facility begins on or after January 1, 2027, 25% of all persons employed in the construction.</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347, §1 (NEW).]</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shall adopt rules to implement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347, §1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provisions apply to a violation of this section.</w:t>
      </w:r>
    </w:p>
    <w:p>
      <w:pPr>
        <w:jc w:val="both"/>
        <w:spacing w:before="100" w:after="0"/>
        <w:ind w:start="720"/>
      </w:pPr>
      <w:r>
        <w:rPr/>
        <w:t>A</w:t>
        <w:t xml:space="preserve">.  </w:t>
      </w:r>
      <w:r>
        <w:rPr/>
      </w:r>
      <w:r>
        <w:t xml:space="preserve">A construction employer who violates this section commits a civil violation for which a fine of not less than $50 nor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w:pPr>
        <w:jc w:val="both"/>
        <w:spacing w:before="100" w:after="0"/>
        <w:ind w:start="720"/>
      </w:pPr>
      <w:r>
        <w:rPr/>
        <w:t>B</w:t>
        <w:t xml:space="preserve">.  </w:t>
      </w:r>
      <w:r>
        <w:rPr/>
      </w:r>
      <w:r>
        <w:t xml:space="preserve">A construction employer who discharges or in any other manner discriminates against an employee because the employee makes a complaint to the department or to the district attorney concerning a violation of this section commits a civil violation for which a fine of not less than $50 nor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w:pPr>
        <w:jc w:val="both"/>
        <w:spacing w:before="100" w:after="0"/>
        <w:ind w:start="720"/>
      </w:pPr>
      <w:r>
        <w:rPr/>
        <w:t>C</w:t>
        <w:t xml:space="preserve">.  </w:t>
      </w:r>
      <w:r>
        <w:rPr/>
      </w:r>
      <w:r>
        <w:t xml:space="preserve">In the event a construction employer is adjudged to have violated this section, the Attorney General may institute injunction proceedings in the Superior Court to enjoin any further violations.</w:t>
      </w:r>
      <w:r>
        <w:t xml:space="preserve">  </w:t>
      </w:r>
      <w:r xmlns:wp="http://schemas.openxmlformats.org/drawingml/2010/wordprocessingDrawing" xmlns:w15="http://schemas.microsoft.com/office/word/2012/wordml">
        <w:rPr>
          <w:rFonts w:ascii="Arial" w:hAnsi="Arial" w:cs="Arial"/>
          <w:sz w:val="22"/>
          <w:szCs w:val="22"/>
        </w:rPr>
        <w:t xml:space="preserve">[PL 2019, c. 347,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§3502.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