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w:t>
        <w:t xml:space="preserve">.  </w:t>
      </w:r>
      <w:r>
        <w:rPr>
          <w:b/>
        </w:rPr>
        <w:t xml:space="preserve">Enforcement</w:t>
      </w:r>
    </w:p>
    <w:p>
      <w:pPr>
        <w:jc w:val="both"/>
        <w:spacing w:before="100" w:after="100"/>
        <w:ind w:start="360"/>
        <w:ind w:firstLine="360"/>
      </w:pPr>
      <w:r>
        <w:rPr/>
      </w:r>
      <w:r>
        <w:rPr/>
      </w:r>
      <w:r>
        <w:t xml:space="preserve">The District Court and the Superior Court shall have original jurisdiction of actions brought for the recovery of fines and penalties imposed by this Title, and of prosecutions for violations of the provisions thereof.</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