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w:t>
        <w:t xml:space="preserve"> </w:t>
      </w:r>
      <w:r>
        <w:t xml:space="preserve"> </w:t>
      </w:r>
      <w:r>
        <w:t xml:space="preserve">The director may make and adopt from time to time, pursuant to Title 5, chapter 375, subchapter 2-A, such rules, not inconsistent with this subchapter, as the director considers appropriate or necessary for the proper administration and enforcement of this subchapter. The rules affecting any particular class of employees and employers must be made and adopted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RR 2023, c. 2, Pt. E,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