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850-L</w:t>
        <w:t xml:space="preserve">.  </w:t>
      </w:r>
      <w:r>
        <w:rPr>
          <w:b/>
        </w:rPr>
        <w:t xml:space="preserve">Disqualification of covered individual</w:t>
      </w:r>
    </w:p>
    <w:p>
      <w:pPr>
        <w:jc w:val="both"/>
        <w:spacing w:before="100" w:after="0"/>
        <w:ind w:start="360"/>
        <w:ind w:firstLine="360"/>
      </w:pPr>
      <w:r>
        <w:rPr>
          <w:b/>
        </w:rPr>
        <w:t>1</w:t>
        <w:t xml:space="preserve">.  </w:t>
      </w:r>
      <w:r>
        <w:rPr>
          <w:b/>
        </w:rPr>
        <w:t xml:space="preserve">False statement; misrepresentation.</w:t>
        <w:t xml:space="preserve"> </w:t>
      </w:r>
      <w:r>
        <w:t xml:space="preserve"> </w:t>
      </w:r>
      <w:r>
        <w:t xml:space="preserve">A covered individual is disqualified from family leave benefits and medical leave benefits for one year if the individual is determined by the department to have willfully made a false statement or misrepresentation regarding a material fact, or willfully failed to report a material fact, to obtain benefits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Erroneous payment.</w:t>
        <w:t xml:space="preserve"> </w:t>
      </w:r>
      <w:r>
        <w:t xml:space="preserve"> </w:t>
      </w:r>
      <w:r>
        <w:t xml:space="preserve">If family leave benefits or medical leave benefits are paid erroneously or as the result of willful misrepresentation or a claim for family leave benefits or medical leave benefits is rejected after benefits are paid, the department may seek repayment of benefits from the recipient. The department shall exercise discretion to waive, in whole or in part, the amount of any such payments if the recovery would be against equity and good conscience.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§850-L. Disqualification of covered individual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§850-L. Disqualification of covered individual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§850-L. DISQUALIFICATION OF COVERED INDIVIDUAL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