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STATE MUSEUM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jc w:val="center"/>
        <w:ind w:start="360"/>
        <w:spacing w:before="300" w:after="300"/>
      </w:pPr>
      <w:r>
        <w:rPr>
          <w:b/>
        </w:rPr>
        <w:t>SUBCHAPTER</w:t>
        <w:t xml:space="preserve"> </w:t>
        <w:t>2</w:t>
      </w:r>
    </w:p>
    <w:p>
      <w:pPr>
        <w:jc w:val="center"/>
        <w:ind w:start="360"/>
        <w:spacing w:before="300" w:after="300"/>
      </w:pPr>
      <w:r>
        <w:rPr>
          <w:b/>
        </w:rPr>
        <w:t xml:space="preserve">ACCEPTANCE OF WORKS OF ART FROM ESTATES</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jc w:val="center"/>
        <w:ind w:start="360"/>
        <w:spacing w:before="300" w:after="300"/>
      </w:pPr>
      <w:r>
        <w:rPr>
          <w:b/>
        </w:rPr>
        <w:t>SUBCHAPTER</w:t>
        <w:t xml:space="preserve"> </w:t>
        <w:t>3</w:t>
      </w:r>
    </w:p>
    <w:p>
      <w:pPr>
        <w:jc w:val="center"/>
        <w:ind w:start="360"/>
        <w:spacing w:before="300" w:after="300"/>
      </w:pPr>
      <w:r>
        <w:rPr>
          <w:b/>
        </w:rPr>
        <w:t xml:space="preserve">CONSERVATION AND PRESERVATION</w:t>
      </w:r>
    </w:p>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STATE MUSEUM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STATE MUSEUM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2. STATE MUSEUM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