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w:t>
        <w:t xml:space="preserve">.  </w:t>
      </w:r>
      <w:r>
        <w:rPr>
          <w:b/>
        </w:rPr>
        <w:t xml:space="preserve">Expenses</w:t>
      </w:r>
    </w:p>
    <w:p>
      <w:pPr>
        <w:jc w:val="both"/>
        <w:spacing w:before="100" w:after="100"/>
        <w:ind w:start="360"/>
        <w:ind w:firstLine="360"/>
      </w:pPr>
      <w:r>
        <w:rPr/>
      </w:r>
      <w:r>
        <w:rPr/>
      </w:r>
      <w:r>
        <w:t xml:space="preserve">The actual cash expenses of the State Historian incurred while in the discharge of official duties, including any sum necessarily contracted by the State Historian for clerical assistance, must be paid from the State Treasury but may not exceed $3,500 a year. Any portion of said amount may be expended by the State Historian, under the direction of the Governor, in the publication of historical matter and data relating to the history of the State.  Funding for the activities of the State Historian must be appropriated to the Maine Historic Preservation Commission.</w:t>
      </w:r>
      <w:r>
        <w:t xml:space="preserve">  </w:t>
      </w:r>
      <w:r xmlns:wp="http://schemas.openxmlformats.org/drawingml/2010/wordprocessingDrawing" xmlns:w15="http://schemas.microsoft.com/office/word/2012/wordml">
        <w:rPr>
          <w:rFonts w:ascii="Arial" w:hAnsi="Arial" w:cs="Arial"/>
          <w:sz w:val="22"/>
          <w:szCs w:val="22"/>
        </w:rPr>
        <w:t xml:space="preserve">[PL 2019, c. 343, Pt. XX,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§2 (AMD). PL 1975, c. 771, §293 (AMD). PL 2001, c. 439, §O1 (AMD). PL 2019, c. 343, Pt. XX,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§267.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