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86-A</w:t>
        <w:t xml:space="preserve">.  </w:t>
      </w:r>
      <w:r>
        <w:rPr>
          <w:b/>
        </w:rPr>
        <w:t xml:space="preserve">Historical materials</w:t>
      </w:r>
    </w:p>
    <w:p>
      <w:pPr>
        <w:jc w:val="both"/>
        <w:spacing w:before="100" w:after="100"/>
        <w:ind w:start="360"/>
        <w:ind w:firstLine="360"/>
      </w:pPr>
      <w:r>
        <w:rPr/>
      </w:r>
      <w:r>
        <w:rPr/>
      </w:r>
      <w:r>
        <w:t xml:space="preserve">The Maine State Museum holds title, as trustee for the State, to all historical materials, other than documents or other library or archival items under the administrative jurisdiction of the Maine State Library or the Maine State Archives, that are or may become the property of the State and are or may be housed in the public buildings of the State.  These historical materials include the banners and flags presently housed in the State House Hall of Flags and may include, but are not restricted to, paintings, sculptures and other works of art dealing with historic subjects or executed by historically significant artists; flags, banners, insignia, medals, firearms, edged weapons, uniforms and other accoutrements relating to Maine military personnel or units; furnishings, utensils, implements, tools, machinery and other devices having particular historical significance to the State.  The State Capitol Building is in the jurisdiction of the State House and Capitol Park Commission.</w:t>
      </w:r>
      <w:r>
        <w:t xml:space="preserve">  </w:t>
      </w:r>
      <w:r xmlns:wp="http://schemas.openxmlformats.org/drawingml/2010/wordprocessingDrawing" xmlns:w15="http://schemas.microsoft.com/office/word/2012/wordml">
        <w:rPr>
          <w:rFonts w:ascii="Arial" w:hAnsi="Arial" w:cs="Arial"/>
          <w:sz w:val="22"/>
          <w:szCs w:val="22"/>
        </w:rPr>
        <w:t xml:space="preserve">[PL 1993, c. 361, Pt. A, §3 (AMD).]</w:t>
      </w:r>
    </w:p>
    <w:p>
      <w:pPr>
        <w:jc w:val="both"/>
        <w:spacing w:before="100" w:after="100"/>
        <w:ind w:start="360"/>
        <w:ind w:firstLine="360"/>
      </w:pPr>
      <w:r>
        <w:rPr/>
      </w:r>
      <w:r>
        <w:rPr/>
      </w:r>
      <w:r>
        <w:t xml:space="preserve">Historical materials as described herein which are directly connected with areas under the jurisdiction of the State Park and Recreation Commission shall be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w:pPr>
        <w:jc w:val="both"/>
        <w:spacing w:before="100" w:after="100"/>
        <w:ind w:start="360"/>
        <w:ind w:firstLine="360"/>
      </w:pPr>
      <w:r>
        <w:rPr/>
      </w:r>
      <w:r>
        <w:rPr/>
      </w:r>
      <w:r>
        <w:t xml:space="preserve">The State Museum shall protect, preserve and interpret such materials which may be placed under its trusteeship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401, §1 (NEW). PL 1987, c. 816, §EE6 (AMD). PL 1993, c. 361,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§86-A. Historical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§86-A. Historical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§86-A. HISTORICAL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