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PL 2023, c. 679, Pt. B, §2 (RP). </w:t>
      </w:r>
    </w:p>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office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office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§8 (AMD).]</w:t>
      </w:r>
    </w:p>
    <w:p>
      <w:pPr>
        <w:jc w:val="both"/>
        <w:spacing w:before="100" w:after="100"/>
        <w:ind w:start="360"/>
        <w:ind w:firstLine="360"/>
      </w:pPr>
      <w:r>
        <w:rPr/>
      </w:r>
      <w:r>
        <w:rPr/>
      </w:r>
      <w:r>
        <w:t xml:space="preserve">The office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679, Pt. B, §9 (AMD).]</w:t>
      </w:r>
    </w:p>
    <w:p>
      <w:pPr>
        <w:jc w:val="both"/>
        <w:spacing w:before="100" w:after="0"/>
        <w:ind w:start="360"/>
        <w:ind w:firstLine="360"/>
      </w:pPr>
      <w:r>
        <w:rPr>
          <w:b/>
        </w:rPr>
        <w:t>1</w:t>
        <w:t xml:space="preserve">.  </w:t>
      </w:r>
      <w:r>
        <w:rPr>
          <w:b/>
        </w:rPr>
        <w:t xml:space="preserve">Data submission requirements.  </w:t>
        <w:t xml:space="preserve"> </w:t>
      </w:r>
      <w:r>
        <w:t xml:space="preserve"> </w:t>
      </w:r>
      <w:r>
        <w:t xml:space="preserve">The tracking system must allow licensees to submit tracking data for adult use cannabis or adult use cannabis products to the office.  The tracking system must permit licensees to submit all required tracking data through manual data entry or through the use of software that connects to the tracking system maintained by the office through an application program interface, including without limitation point-of-sale system software.  Nothing in this subsection may be construed to permit the submission of required tracking data using an application program interface that cannot transmit all required data to the tracking system required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 (RPR).]</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office under this chapter or rule adopted pursuant to this chapter to each group of cannabis plants tracked under this section.  The office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 (AMD).]</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office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 (AMD).]</w:t>
      </w:r>
    </w:p>
    <w:p>
      <w:pPr>
        <w:jc w:val="both"/>
        <w:spacing w:before="100" w:after="100"/>
        <w:ind w:start="360"/>
        <w:ind w:firstLine="360"/>
      </w:pPr>
      <w:r>
        <w:rPr>
          <w:b/>
        </w:rPr>
        <w:t>2</w:t>
        <w:t xml:space="preserve">.  </w:t>
      </w:r>
      <w:r>
        <w:rPr>
          <w:b/>
        </w:rPr>
        <w:t xml:space="preserve">Rules.</w:t>
        <w:t xml:space="preserve"> </w:t>
      </w:r>
      <w:r>
        <w:t xml:space="preserve"> </w:t>
      </w:r>
      <w:r>
        <w:t xml:space="preserve">The office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office's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PL 2023, c. 679, Pt. B, §§8-13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§15 (AMD).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office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minors;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PL 2023, c. 679, Pt. B, §16 (AMD).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office for the type of license sought along with the appropriate application fee as determined by the office pursuant to </w:t>
      </w:r>
      <w:r>
        <w:t>section 207</w:t>
      </w:r>
      <w:r>
        <w:t xml:space="preserve">. The office may implement and maintain an online portal to receive applications and accept application fees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§33 (AMD).]</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office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office may not engage in the cultivation, manufacture, testing or sale of adult use cannabis or adult use cannabis products until the office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w:pPr>
        <w:jc w:val="both"/>
        <w:spacing w:before="100" w:after="0"/>
        <w:ind w:start="720"/>
      </w:pPr>
      <w:r>
        <w:rPr/>
        <w:t>B</w:t>
        <w:t xml:space="preserve">.  </w:t>
      </w:r>
      <w:r>
        <w:rPr/>
      </w:r>
      <w:r>
        <w:t xml:space="preserve">A conditional license issued by the office pursuant to this subsection is effective for a period of one year from the date of issuance and may not be renewed.  If a licensee issued a conditional license by the office fails to obtain an active license from the office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§34 (AMD).]</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office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office shall require an applicant that has been issued a conditional license to submit information necessary for the office to determine that the applicant continues to meet all applicable requirements for conditional licensure under this subchapter.  The office may refuse to issue an active license to an applicant if the office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office shall notify the applicant that certification of local authorization has been confirmed and that, in order for the office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B</w:t>
        <w:t xml:space="preserve">.  </w:t>
      </w:r>
      <w:r>
        <w:rPr/>
      </w:r>
      <w:r>
        <w:t xml:space="preserve">The office shall prepare and furnish to applicants, municipalities and the Maine Land Use Planning Commission a certification form by which the municipality may certify to the office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office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office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§35 (AMD).]</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office to an applicant under this chapter is separate and distinct from any other license issued by the office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§36 (AMD).]</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office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PL 2023, c. 679, Pt. B, §§33-37 (AMD).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office, for good cause, may deny an application for an initial license, a license renewal, a transfer of ownership interests or a relocation of licensed premises.  Denial of an application by the office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office that:</w:t>
      </w:r>
    </w:p>
    <w:p>
      <w:pPr>
        <w:jc w:val="both"/>
        <w:spacing w:before="100" w:after="0"/>
        <w:ind w:start="720"/>
      </w:pPr>
      <w:r>
        <w:rPr/>
        <w:t>A</w:t>
        <w:t xml:space="preserve">.  </w:t>
      </w:r>
      <w:r>
        <w:rPr/>
      </w:r>
      <w:r>
        <w:t xml:space="preserve">An applicant or licensee has violated, does not meet or has failed to comply with any of the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office;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office's determination to deny a license application, the office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§38 (AMD).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office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2023, c. 679, Pt. B, §48 (AMD).]</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PL 2023, c. 679, Pt. B, §48 (AMD).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office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§56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office local authorization of a cannabis establishment within a town, plantation or township located within the unorganized and deorganized areas pursuant to subsection 3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§57 (AMD).]</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§58 (AMD).]</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office a person's compliance with the requirements of </w:t>
      </w:r>
      <w:r>
        <w:t>paragraphs B</w:t>
      </w:r>
      <w:r>
        <w:t xml:space="preserve"> and </w:t>
      </w:r>
      <w:r>
        <w:t>C</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§§58, 59 (AMD).]</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subsection 3, paragraph B,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subsection 3, paragraph C,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§§56-59 (AMD).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or products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§76 (AMD).]</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Title 22, section 569 and, in accordance with rules adopted by the office after consultation with the Department of Health and Human Services, Maine Center for Disease Control and Prevention, which must allow for inspection of the proposed or operational testing facility by the office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office. The office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office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office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office may not renew a provisional testing facility license more than once.</w:t>
      </w:r>
    </w:p>
    <w:p>
      <w:pPr>
        <w:jc w:val="both"/>
        <w:spacing w:before="100" w:after="0"/>
        <w:ind w:start="720"/>
      </w:pPr>
      <w:r>
        <w:rPr/>
      </w:r>
      <w:r>
        <w:rPr/>
      </w:r>
      <w:r>
        <w:t xml:space="preserve">An active full or provisional testing facility license may not be issued by the office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C</w:t>
        <w:t xml:space="preserve">.  </w:t>
      </w:r>
      <w:r>
        <w:rPr/>
      </w:r>
      <w:r>
        <w:t xml:space="preserve">Is determined by the office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§77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office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§43 (COR).]</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§79 (AMD).]</w:t>
      </w:r>
    </w:p>
    <w:p>
      <w:pPr>
        <w:jc w:val="both"/>
        <w:spacing w:before="100" w:after="0"/>
        <w:ind w:start="360"/>
        <w:ind w:firstLine="360"/>
      </w:pPr>
      <w:r>
        <w:rPr>
          <w:b/>
        </w:rPr>
        <w:t>4-A</w:t>
        <w:t xml:space="preserve">.  </w:t>
      </w:r>
      <w:r>
        <w:rPr>
          <w:b/>
        </w:rPr>
        <w:t xml:space="preserve">Retesting for potency.</w:t>
        <w:t xml:space="preserve"> </w:t>
      </w:r>
      <w:r>
        <w:t xml:space="preserve"> </w:t>
      </w:r>
      <w:r>
        <w:t xml:space="preserve">If requested by the licensee, a testing facility may retest for potency a sample of adult use cannabis or an adult use cannabis product from the same batch the testing facility initially tested. The retest for potency may be completed only once after the initial test, and the sample must be from the remaining representative sample of the same batch that was initially received by the testing facility.  The results of the initial test and the retest must be reported by the testing facility in accordance with </w:t>
      </w:r>
      <w:r>
        <w:t>subchapter 6</w:t>
      </w:r>
      <w:r>
        <w:t xml:space="preserve"> and the rules governing testing facilities.  A licensee that chooses to retest for potency shall include the potency values reported for the retest instead of the initial potency value reported by the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§80 (NEW).]</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office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§81 (AMD).]</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§82 (AMD).]</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office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§83 (AMD).]</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office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PL 2023, c. 679, Pt. B, §§76, 77, 79-84 (AMD). RR 2023, c. 2, Pt. A, §43 (COR).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Title 22, section 2421‑A, subsection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§85 (AMD).]</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office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§86 (AMD).]</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§87 (AMD).]</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office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PL 2023, c. 679, Pt. B, §§85-88 (AMD).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office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section 504.</w:t>
      </w:r>
      <w:r>
        <w:t xml:space="preserve">  </w:t>
      </w:r>
      <w:r xmlns:wp="http://schemas.openxmlformats.org/drawingml/2010/wordprocessingDrawing" xmlns:w15="http://schemas.microsoft.com/office/word/2012/wordml">
        <w:rPr>
          <w:rFonts w:ascii="Arial" w:hAnsi="Arial" w:cs="Arial"/>
          <w:sz w:val="22"/>
          <w:szCs w:val="22"/>
        </w:rPr>
        <w:t xml:space="preserve">[PL 2023, c. 679, Pt. B, §96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office, and a nonrefundable $200 permit application fee to the office.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office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§98 (AMD).]</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office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§99 (AMD).]</w:t>
      </w:r>
    </w:p>
    <w:p>
      <w:pPr>
        <w:jc w:val="both"/>
        <w:spacing w:before="100" w:after="100"/>
        <w:ind w:start="360"/>
        <w:ind w:firstLine="360"/>
      </w:pPr>
      <w:r>
        <w:rPr>
          <w:b/>
        </w:rPr>
        <w:t>4</w:t>
        <w:t xml:space="preserve">.  </w:t>
      </w:r>
      <w:r>
        <w:rPr>
          <w:b/>
        </w:rPr>
        <w:t xml:space="preserve">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office's request.</w:t>
      </w:r>
      <w:r>
        <w:t xml:space="preserve">  </w:t>
      </w:r>
      <w:r xmlns:wp="http://schemas.openxmlformats.org/drawingml/2010/wordprocessingDrawing" xmlns:w15="http://schemas.microsoft.com/office/word/2012/wordml">
        <w:rPr>
          <w:rFonts w:ascii="Arial" w:hAnsi="Arial" w:cs="Arial"/>
          <w:sz w:val="22"/>
          <w:szCs w:val="22"/>
        </w:rPr>
        <w:t xml:space="preserve">[PL 2023, c. 679, Pt. B, §100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§100 (AMD).]</w:t>
      </w:r>
    </w:p>
    <w:p>
      <w:pPr>
        <w:jc w:val="both"/>
        <w:spacing w:before="100" w:after="0"/>
        <w:ind w:start="360"/>
        <w:ind w:firstLine="360"/>
      </w:pPr>
      <w:r>
        <w:rPr>
          <w:b/>
        </w:rPr>
        <w:t>5</w:t>
        <w:t xml:space="preserve">.  </w:t>
      </w:r>
      <w:r>
        <w:rPr>
          <w:b/>
        </w:rPr>
        <w:t xml:space="preserve">Guidance.</w:t>
        <w:t xml:space="preserve"> </w:t>
      </w:r>
      <w:r>
        <w:t xml:space="preserve"> </w:t>
      </w:r>
      <w:r>
        <w:t xml:space="preserve">The office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§101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office's own initiative or upon complaint and after investigation, the office, by written order, may for good cause as described in </w:t>
      </w:r>
      <w:r>
        <w:t>section 206, subsection 2</w:t>
      </w:r>
      <w:r>
        <w:t xml:space="preserve"> suspend or revoke a specified event permit issued to a cannabis store.  The office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§102 (AMD).]</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PL 2023, c. 679, Pt. B, §§96-102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office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§108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and the person signs a visitor entry log provided and maintained by the licensee and is issued a visitor identification badge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w:pPr>
        <w:jc w:val="both"/>
        <w:spacing w:before="100" w:after="0"/>
        <w:ind w:start="360"/>
        <w:ind w:firstLine="360"/>
      </w:pPr>
      <w:r>
        <w:rPr>
          <w:b/>
        </w:rPr>
        <w:t>1-A</w:t>
        <w:t xml:space="preserve">.  </w:t>
      </w:r>
      <w:r>
        <w:rPr>
          <w:b/>
        </w:rPr>
        <w:t xml:space="preserve">Visitors.</w:t>
        <w:t xml:space="preserve"> </w:t>
      </w:r>
      <w:r>
        <w:t xml:space="preserve"> </w:t>
      </w:r>
      <w:r>
        <w:t xml:space="preserve">A licensee may allow a visitor who is not a minor to enter or remain in any limited access area without displaying an individual identification card if the visitor signs a visitor entry log provided and maintained by the licensee, the visitor is issued a visitor identification badge by the licensee and, if the visitor is visiting in a limited access area with immediate access to cannabis or cannabis products, the visitor is accompanied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(NEW).]</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office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PL 2023, c. 679, Pt. B, §108 (AMD).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office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§121 (AMD).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office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If a licensee chooses to retest any cannabis or cannabis product for potency in accordance with </w:t>
      </w:r>
      <w:r>
        <w:t>section 503, subsection 4‑A</w:t>
      </w:r>
      <w:r>
        <w:t xml:space="preserve">, the licensee shall include the THC potency information of the cannabis or cannabis product from the retest results.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G</w:t>
        <w:t xml:space="preserve">.  </w:t>
      </w:r>
      <w:r>
        <w:rPr/>
      </w:r>
      <w:r>
        <w:t xml:space="preserve">Information on the amount of THC and cannabidiol per serving of the edible cannabis product.  The information required pursuant to this paragraph must be consistent with </w:t>
      </w:r>
      <w:r>
        <w:t>section 703, subsection 1, paragraph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route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or milligrams, and the amount of cannabis concentrate per package of the product, as measured in grams or milligrams;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w:pPr>
        <w:jc w:val="both"/>
        <w:spacing w:before="100" w:after="0"/>
        <w:ind w:start="720"/>
      </w:pPr>
      <w:r>
        <w:rPr/>
        <w:t>C</w:t>
        <w:t xml:space="preserve">.  </w:t>
      </w:r>
      <w:r>
        <w:rPr/>
      </w:r>
      <w:r>
        <w:t xml:space="preserve">Packaging for liquid adult use cannabis products that contain more than one serving must include an integral measurement component that measures one serving of the adult use cannabis product and a child-resistant cap or closure.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Any other information that has been preapproved by the office pursuant to </w:t>
      </w:r>
      <w:r>
        <w:t>subsection 5</w:t>
      </w:r>
      <w:r>
        <w:t xml:space="preserve"> or information that is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targets minors or contains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5</w:t>
        <w:t xml:space="preserve">.  </w:t>
      </w:r>
      <w:r>
        <w:rPr>
          <w:b/>
        </w:rPr>
        <w:t xml:space="preserve">Voluntary labeling and packaging approval.</w:t>
        <w:t xml:space="preserve"> </w:t>
      </w:r>
      <w:r>
        <w:t xml:space="preserve"> </w:t>
      </w:r>
      <w:r>
        <w:t xml:space="preserve">A licensee may submit to the office a request for approval of any labeling or packaging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label for which approval is requested or a physical sample of any package for which approval is requested;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B</w:t>
        <w:t xml:space="preserve">.  </w:t>
      </w:r>
      <w:r>
        <w:rPr/>
      </w:r>
      <w:r>
        <w:t xml:space="preserve">A description of any additional labels that will be affixed to the label or package and the information contained on these additional labels;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C</w:t>
        <w:t xml:space="preserve">.  </w:t>
      </w:r>
      <w:r>
        <w:rPr/>
      </w:r>
      <w:r>
        <w:t xml:space="preserve">Any additional information required on an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360"/>
      </w:pPr>
      <w:r>
        <w:rPr/>
      </w:r>
      <w:r>
        <w:rPr/>
      </w:r>
      <w:r>
        <w:t xml:space="preserve">The office may not refuse to review any voluntary request for approval. The office may deny any label or package it determines does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labeling or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PL 2023, c. 679, Pt. B, §122 (AMD).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§126 (RP).]</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b/>
        </w:rPr>
        <w:t>(CONFLICT: Text as repealed and replaced by PL 2023, c. 641, §1)</w:t>
        <w:t xml:space="preserve"> </w:t>
      </w:r>
      <w:r>
        <w:rPr/>
      </w:r>
      <w:r>
        <w:t xml:space="preserve">Unless determined impracticable by the department by rule, must be stamped or embossed with a universal symbol on each serving of the edible cannabis product or each serving must be individually wrapped or blister packaged with a universal symbol clearly included on the wrapping or packaging.  In the event the department determines by rule that stamping, embossing, individual wrapping or blister packaging for a particular type of edible cannabis product is impracticable, each serving of the product must be packaged together and the universal symbol affixed to the packaging.  For purposes of this chapter, edible cannabis products that are determined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641, §1 (RPR).]</w:t>
      </w:r>
    </w:p>
    <w:p>
      <w:pPr>
        <w:jc w:val="both"/>
        <w:spacing w:before="100" w:after="0"/>
        <w:ind w:start="720"/>
      </w:pPr>
      <w:r>
        <w:rPr/>
        <w:t>D</w:t>
        <w:t xml:space="preserve">.  </w:t>
      </w:r>
      <w:r>
        <w:rPr>
          <w:b/>
        </w:rPr>
        <w:t>(CONFLICT: Text as repealed and replaced by PL 2023, c. 679, Pt. B, §127)</w:t>
        <w:t xml:space="preserve"> </w:t>
      </w:r>
      <w:r>
        <w:rPr/>
      </w:r>
      <w:r>
        <w:t xml:space="preserve">Unless determined impracticable by the office by rule, must be stamped or embossed with a universal symbol on each serving of the edible cannabis product or each serving must be individually wrapped or blister packaged with a universal symbol clearly included on the wrapping or packaging.  In the event the office determines by rule that stamping, embossing, individual wrapping or blister packaging for a particular type of edible cannabis product is impracticable, each serving of the product must be packaged together with the universal symbol affixed to the packaging.  For purposes of this chapter, edible cannabis products that are determined to be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679, Pt. B, §127 (RPR).]</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§128 (RP).]</w:t>
      </w:r>
    </w:p>
    <w:p>
      <w:pPr>
        <w:jc w:val="both"/>
        <w:spacing w:before="100" w:after="0"/>
        <w:ind w:start="720"/>
      </w:pPr>
      <w:r>
        <w:rPr/>
        <w:t>G-1</w:t>
        <w:t xml:space="preserve">.  </w:t>
      </w:r>
      <w:r>
        <w:rPr/>
      </w:r>
      <w:r>
        <w:t xml:space="preserve">May not be adulterated or misbranded as described in </w:t>
      </w:r>
      <w:r>
        <w:t>Title 22, sections 2156</w:t>
      </w:r>
      <w:r>
        <w:t xml:space="preserve"> and </w:t>
      </w:r>
      <w:r>
        <w:t>2157</w:t>
      </w:r>
      <w:r>
        <w:t xml:space="preserve">, respectively, or contain additives specifically formulated to increase the addictiveness of the edible cannabis product; and</w:t>
      </w:r>
      <w:r>
        <w:t xml:space="preserve">  </w:t>
      </w:r>
      <w:r xmlns:wp="http://schemas.openxmlformats.org/drawingml/2010/wordprocessingDrawing" xmlns:w15="http://schemas.microsoft.com/office/word/2012/wordml">
        <w:rPr>
          <w:rFonts w:ascii="Arial" w:hAnsi="Arial" w:cs="Arial"/>
          <w:sz w:val="22"/>
          <w:szCs w:val="22"/>
        </w:rPr>
        <w:t xml:space="preserve">[PL 2023, c. 679, Pt. B, §129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641, §1 (AMD); PL 2023, c. 679, Pt. B, §§126-129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office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labeling and packaging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PL 2023, c. 641, §1 (AMD). PL 2023, c. 679, Pt. B, §§126-130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PL 2023, c. 650, §2 (RP). </w:t>
      </w:r>
    </w:p>
    <w:p>
      <w:pPr>
        <w:jc w:val="both"/>
        <w:spacing w:before="100" w:after="100"/>
        <w:ind w:start="1080" w:hanging="720"/>
      </w:pPr>
      <w:r>
        <w:rPr>
          <w:b/>
        </w:rPr>
        <w:t>§</w:t>
        <w:t>903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650, §2 (RP). </w:t>
      </w:r>
    </w:p>
    <w:p>
      <w:pPr>
        <w:jc w:val="both"/>
        <w:spacing w:before="100" w:after="100"/>
        <w:ind w:start="1080" w:hanging="720"/>
      </w:pPr>
      <w:r>
        <w:rPr>
          <w:b/>
        </w:rPr>
        <w:t>§</w:t>
        <w:t>904</w:t>
        <w:t xml:space="preserve">.  </w:t>
      </w:r>
      <w:r>
        <w:rPr>
          <w:b/>
        </w:rPr>
        <w:t xml:space="preserve">Organization; staffing; consultation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1. CANNABIS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