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Vehicle auction business license</w:t>
      </w:r>
    </w:p>
    <w:p>
      <w:pPr>
        <w:jc w:val="both"/>
        <w:spacing w:before="100" w:after="0"/>
        <w:ind w:start="360"/>
        <w:ind w:firstLine="360"/>
      </w:pPr>
      <w:r>
        <w:rPr>
          <w:b/>
        </w:rPr>
        <w:t>1</w:t>
        <w:t xml:space="preserve">.  </w:t>
      </w:r>
      <w:r>
        <w:rPr>
          <w:b/>
        </w:rPr>
        <w:t xml:space="preserve">License.</w:t>
        <w:t xml:space="preserve"> </w:t>
      </w:r>
      <w:r>
        <w:t xml:space="preserve"> </w:t>
      </w:r>
      <w:r>
        <w:t xml:space="preserve">A person may not engage in the business of auctioning vehicles without first being issued a vehicle auction business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Conditions for license.</w:t>
        <w:t xml:space="preserve"> </w:t>
      </w:r>
      <w:r>
        <w:t xml:space="preserve"> </w:t>
      </w:r>
      <w:r>
        <w:t xml:space="preserve">A vehicle auction business license may be issued only after the Secretary of State has made a thorough inspection of the premises on which the business is to be conducted and is satisfied that the proposed business meets all requirements and that the proposed methods of operation are suitable for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Facilities.</w:t>
        <w:t xml:space="preserve"> </w:t>
      </w:r>
      <w:r>
        <w:t xml:space="preserve"> </w:t>
      </w:r>
      <w:r>
        <w:t xml:space="preserve">A vehicle auction business must maintain proper facilities for display of vehicles being auctioned.  The Secretary of State may waive the provision of this subsection for an auction business that does not auction vehicles on its own premises if the facilities used are proper for the display of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Records.</w:t>
        <w:t xml:space="preserve"> </w:t>
      </w:r>
      <w:r>
        <w:t xml:space="preserve"> </w:t>
      </w:r>
      <w:r>
        <w:t xml:space="preserve">A vehicle auction business must maintain an office in which books, records and files related to the business are kept.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Authority of the Secretary of State.</w:t>
        <w:t xml:space="preserve"> </w:t>
      </w:r>
      <w:r>
        <w:t xml:space="preserve"> </w:t>
      </w:r>
      <w:r>
        <w:t xml:space="preserve">The Secretary of State may:</w:t>
      </w:r>
    </w:p>
    <w:p>
      <w:pPr>
        <w:jc w:val="both"/>
        <w:spacing w:before="100" w:after="0"/>
        <w:ind w:start="720"/>
      </w:pPr>
      <w:r>
        <w:rPr/>
        <w:t>A</w:t>
        <w:t xml:space="preserve">.  </w:t>
      </w:r>
      <w:r>
        <w:rPr/>
      </w:r>
      <w:r>
        <w:t xml:space="preserve">Attend all motor vehicle auctions;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Inspect all books, records and files related to a vehicle auction business;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Inspect all vehicles to be auctioned.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Location.</w:t>
        <w:t xml:space="preserve"> </w:t>
      </w:r>
      <w:r>
        <w:t xml:space="preserve"> </w:t>
      </w:r>
      <w:r>
        <w:t xml:space="preserve">Except as provided in </w:t>
      </w:r>
      <w:r>
        <w:t>subsection 3</w:t>
      </w:r>
      <w:r>
        <w:t xml:space="preserve">, a vehicle auction business license authorizes business at the licensed premises only.  The boundaries of the business are determined by the plan submitted with the application and may be altered with the approval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Nontransferability.</w:t>
        <w:t xml:space="preserve"> </w:t>
      </w:r>
      <w:r>
        <w:t xml:space="preserve"> </w:t>
      </w:r>
      <w:r>
        <w:t xml:space="preserve">A vehicle auction business license is not transferable.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Application.</w:t>
        <w:t xml:space="preserve"> </w:t>
      </w:r>
      <w:r>
        <w:t xml:space="preserve"> </w:t>
      </w:r>
      <w:r>
        <w:t xml:space="preserve">This section does not apply to vehicle auctioneers who are licensed and bonded pursuant to </w:t>
      </w:r>
      <w:r>
        <w:t>Title 32, chapter 5‑B</w:t>
      </w:r>
      <w:r>
        <w:t xml:space="preserve"> and who are conducting a vehicle auction incidental to the liquidation of a business or an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§3 (AMD).]</w:t>
      </w:r>
    </w:p>
    <w:p>
      <w:pPr>
        <w:jc w:val="both"/>
        <w:spacing w:before="100" w:after="0"/>
        <w:ind w:start="360"/>
        <w:ind w:firstLine="360"/>
      </w:pPr>
      <w:r>
        <w:rPr>
          <w:b/>
        </w:rPr>
        <w:t>9</w:t>
        <w:t xml:space="preserve">.  </w:t>
      </w:r>
      <w:r>
        <w:rPr>
          <w:b/>
        </w:rPr>
        <w:t xml:space="preserve">Penalty.</w:t>
        <w:t xml:space="preserve"> </w:t>
      </w:r>
      <w:r>
        <w:t xml:space="preserve"> </w:t>
      </w:r>
      <w:r>
        <w:t xml:space="preserve">A person who fails to obtain a vehicle auction business license as required by this 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§7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146, §3 (AMD). PL 1999, c. 771, §C7 (AMD). PL 1999, c. 771, §§D1,2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Vehicle auction business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Vehicle auction business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§1051. VEHICLE AUCTION BUSINESS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