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1102-A</w:t>
        <w:t xml:space="preserve">.  </w:t>
      </w:r>
      <w:r>
        <w:rPr>
          <w:b/>
        </w:rPr>
        <w:t xml:space="preserve">Mobile crushers</w:t>
      </w:r>
    </w:p>
    <w:p>
      <w:pPr>
        <w:jc w:val="both"/>
        <w:spacing w:before="100" w:after="0"/>
        <w:ind w:start="360"/>
        <w:ind w:firstLine="360"/>
      </w:pPr>
      <w:r>
        <w:rPr>
          <w:b/>
        </w:rPr>
        <w:t>1</w:t>
        <w:t xml:space="preserve">.  </w:t>
      </w:r>
      <w:r>
        <w:rPr>
          <w:b/>
        </w:rPr>
        <w:t xml:space="preserve">Mobile crushers permitted.</w:t>
        <w:t xml:space="preserve"> </w:t>
      </w:r>
      <w:r>
        <w:t xml:space="preserve"> </w:t>
      </w:r>
      <w:r>
        <w:t xml:space="preserve">A person operating a mobile crusher in this State, whether based in or outside of the State, is subject to the provisions of this subchapter except the provisions of </w:t>
      </w:r>
      <w:r>
        <w:t>section 1103</w:t>
      </w:r>
      <w:r>
        <w:t xml:space="preserve">.  The Secretary of State may adopt rules for the permitting of mobile crushers.  For purposes of this section, "mobile crusher" means a transportable device that is used to crush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§17 (NEW). PL 2021, c. 216, §33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§1102-A. Mobile crushers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§1102-A. Mobile crushers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§1102-A. MOBILE CRUSHERS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