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1552</w:t>
        <w:t xml:space="preserve">.  </w:t>
      </w:r>
      <w:r>
        <w:rPr>
          <w:b/>
        </w:rPr>
        <w:t xml:space="preserve">Application</w:t>
      </w:r>
    </w:p>
    <w:p>
      <w:pPr>
        <w:jc w:val="both"/>
        <w:spacing w:before="100" w:after="100"/>
        <w:ind w:start="360"/>
        <w:ind w:firstLine="360"/>
      </w:pPr>
      <w:r>
        <w:rPr/>
      </w:r>
      <w:r>
        <w:rPr/>
      </w:r>
      <w:r>
        <w:t xml:space="preserve">The provisions of this chapter do not apply to a snowmobile or an ATV, unless the ATV is registered for highway use.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§1552.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