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Hearing</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aggrieved by a decision of the Secretary of State in applying this chapter, within 10 days after receipt of the decision, may request in writing a hearing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Stay of decision.</w:t>
        <w:t xml:space="preserve"> </w:t>
      </w:r>
      <w:r>
        <w:t xml:space="preserve"> </w:t>
      </w:r>
      <w:r>
        <w:t xml:space="preserve">Pending a hearing, the decision may be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Determination of issuance.</w:t>
        <w:t xml:space="preserve"> </w:t>
      </w:r>
      <w:r>
        <w:t xml:space="preserve"> </w:t>
      </w:r>
      <w:r>
        <w:t xml:space="preserve">If the Secretary of State holds a hearing to determine whether or not a license or registration should be issued to a person against whom the provisions of this subchapter have been invoked, the Secretary of State shall provide notice of the hearing to the other party involved in the accident that gave rise to this subchapter being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§1608.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