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2115</w:t>
        <w:t xml:space="preserve">.  </w:t>
      </w:r>
      <w:r>
        <w:rPr>
          <w:b/>
        </w:rPr>
        <w:t xml:space="preserve">Operating motor vehicle on Pickerel Pond</w:t>
      </w:r>
    </w:p>
    <w:p>
      <w:pPr>
        <w:jc w:val="both"/>
        <w:spacing w:before="100" w:after="100"/>
        <w:ind w:start="360"/>
        <w:ind w:firstLine="360"/>
      </w:pPr>
      <w:r>
        <w:rPr/>
      </w:r>
      <w:r>
        <w:rPr/>
      </w:r>
      <w:r>
        <w:t xml:space="preserve">A person may not operate a motor vehicle as defined in </w:t>
      </w:r>
      <w:r>
        <w:t>section 101, subsection 42</w:t>
      </w:r>
      <w:r>
        <w:t xml:space="preserve"> on Pickerel Pond located in Township 32 Middle Division.  This section does not apply to motor vehicles of the Department of Inland Fisheries and Wildlife, airmobiles as defined in </w:t>
      </w:r>
      <w:r>
        <w:t>Title 12, section 13001, subsection 2</w:t>
      </w:r>
      <w:r>
        <w:t xml:space="preserve"> and authorized emergency vehicles as defined in </w:t>
      </w:r>
      <w:r>
        <w:t>section 2054, subsection 1, paragraph B</w:t>
      </w:r>
      <w:r>
        <w:t xml:space="preserve">.  A person who violates this section commits a traffic infraction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2005, c. 433, §19 (AMD); PL 2005, c. 433, §28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§93 (COR). PL 2003, c. 614, §8 (NEW). PL 2005, c. 433, §19 (AMD). PL 2005, c. 433, §28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§2115. Operating motor vehicle on Pickerel Pond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§2115. Operating motor vehicle on Pickerel Pond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§2115. OPERATING MOTOR VEHICLE ON PICKEREL POND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