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§2390. Maximum length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Maximum length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§2390. MAXIMUM LENGTH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