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Decision;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Decision;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§2485. DECISION;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