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Insurance required prior to registration</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person may not register a vehicle unless the person satisfies the Secretary of State that the vehicle is covered by a liability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Method of establishing evidence of insurance.</w:t>
        <w:t xml:space="preserve"> </w:t>
      </w:r>
      <w:r>
        <w:t xml:space="preserve"> </w:t>
      </w:r>
      <w:r>
        <w:t xml:space="preserve">A person establishes insurance by showing the vehicle insurance identification card as defined by </w:t>
      </w:r>
      <w:r>
        <w:t>section 1551, subsection 4</w:t>
      </w:r>
      <w:r>
        <w:t xml:space="preserve">, a letter from an insurance company or agent showing that the vehicle is covered by a liability insurance policy, an insurance binder or an insurance policy that has a summary document that describes the vehicle insured, the name of the insured, the amount of insurance, the type of insurance coverage and the period for which the vehicle is covered to either the municipal agent or the bureau.  Evidence of insurance may be provided at the time of registration in electronic form, including the display of an image on a portable electronic device as defined in </w:t>
      </w:r>
      <w:r>
        <w:t>section 1551, subsection 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§2 (AMD).]</w:t>
      </w:r>
    </w:p>
    <w:p>
      <w:pPr>
        <w:jc w:val="both"/>
        <w:spacing w:before="100" w:after="0"/>
        <w:ind w:start="360"/>
        <w:ind w:firstLine="360"/>
      </w:pPr>
      <w:r>
        <w:rPr>
          <w:b/>
        </w:rPr>
        <w:t>3</w:t>
        <w:t xml:space="preserve">.  </w:t>
      </w:r>
      <w:r>
        <w:rPr>
          <w:b/>
        </w:rPr>
        <w:t xml:space="preserve">Alternative methods of establishing evidence of insurance.</w:t>
        <w:t xml:space="preserve"> </w:t>
      </w:r>
      <w:r>
        <w:t xml:space="preserve"> </w:t>
      </w:r>
      <w:r>
        <w:t xml:space="preserve">An individual is considered to comply with </w:t>
      </w:r>
      <w:r>
        <w:t>subsection 2</w:t>
      </w:r>
      <w:r>
        <w:t xml:space="preserve"> if the individual shows evidence of compliance with the provisions of </w:t>
      </w:r>
      <w:r>
        <w:t>section 1605, subsection 3, paragraph A</w:t>
      </w:r>
      <w:r>
        <w:t xml:space="preserve">, </w:t>
      </w:r>
      <w:r>
        <w:t>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Exceptions.</w:t>
        <w:t xml:space="preserve"> </w:t>
      </w:r>
      <w:r>
        <w:t xml:space="preserve"> </w:t>
      </w:r>
      <w:r>
        <w:t xml:space="preserve">The provisions of this section do not apply to:</w:t>
      </w:r>
    </w:p>
    <w:p>
      <w:pPr>
        <w:jc w:val="both"/>
        <w:spacing w:before="100" w:after="0"/>
        <w:ind w:start="720"/>
      </w:pPr>
      <w:r>
        <w:rPr/>
        <w:t>A</w:t>
        <w:t xml:space="preserve">.  </w:t>
      </w:r>
      <w:r>
        <w:rPr/>
      </w:r>
      <w:r>
        <w:t xml:space="preserve">Government vehicles as identified in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Vehicles owned or controlled by a dealer as defined by </w:t>
      </w:r>
      <w:r>
        <w:t>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Vehicles registered as vehicles for hire;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Trailers and semitrailers.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Insurance required prior to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§402. INSURANCE REQUIRED PRIOR TO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