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§468-A. Recognition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§468-A. Recognition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§468-A. RECOGNITION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