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555-A</w:t>
        <w:t xml:space="preserve">.  </w:t>
      </w:r>
      <w:r>
        <w:rPr>
          <w:b/>
        </w:rPr>
        <w:t xml:space="preserve">United States Department of Transportation census number</w:t>
      </w:r>
    </w:p>
    <w:p>
      <w:pPr>
        <w:jc w:val="both"/>
        <w:spacing w:before="100" w:after="100"/>
        <w:ind w:start="360"/>
        <w:ind w:firstLine="360"/>
      </w:pPr>
      <w:r>
        <w:rPr/>
      </w:r>
      <w:r>
        <w:rPr/>
      </w:r>
      <w:r>
        <w:t xml:space="preserve">The bureau may require a motor carrier to have and display a United States Department of Transportation census number.  The bureau may adopt rules to administer this section.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§555-A. United States Department of Transportation census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§555-A. United States Department of Transportation census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§555-A. UNITED STATES DEPARTMENT OF TRANSPORTATION CENSUS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