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37. LEGISLATIVE OVERSIGHT OF GOVERNMENT AGENCIES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