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§163-A. Nonpartisan legislative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§163-A. NONPARTISAN LEGISLATIVE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