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Testimony</w:t>
      </w:r>
    </w:p>
    <w:p>
      <w:pPr>
        <w:jc w:val="both"/>
        <w:spacing w:before="100" w:after="100"/>
        <w:ind w:start="360"/>
        <w:ind w:firstLine="360"/>
      </w:pPr>
      <w:r>
        <w:rPr/>
      </w:r>
      <w:r>
        <w:rPr/>
      </w:r>
      <w:r>
        <w:t xml:space="preserve">Taking of testimony must be by the investigating committee's counsel, or other staff personnel or the members of the committee. A quorum must be present. Unless otherwise decided by investigating committee action, all testimony must be taken in open session. However, if any witness so requests, that witness's testimony must be taken in executive session,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[RR 2009,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RR 2009, c. 2,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 Testimony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Testimony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§427. TESTIMONY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