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Department of Administrative and Financial Services, Bureau of Alcoholic Beverages and Lottery Operations with regard to the enforcement of the law relating to the manufacture, importation, storage, transportation and sale of all liquor and the laws relating to licensing and the collection of taxes on malt liquor and wine in 2023;</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 and</w:t>
      </w:r>
    </w:p>
    <w:p>
      <w:pPr>
        <w:jc w:val="both"/>
        <w:spacing w:before="100" w:after="0"/>
        <w:ind w:start="1080"/>
      </w:pPr>
      <w:r>
        <w:rPr/>
        <w:t>(</w:t>
        <w:t>5</w:t>
        <w:t xml:space="preserve">)  </w:t>
      </w:r>
      <w:r>
        <w:rPr/>
      </w:r>
      <w:r>
        <w:t xml:space="preserve">Department of Administrative and Financial Services, Office of Cannabis Policy with regard to the administration and enforcement of the laws relating to the Cannabis Legalization Act and the Maine Medical Use of Cannabis Act in 2031.</w:t>
      </w:r>
      <w:r>
        <w:t xml:space="preserve">  </w:t>
      </w:r>
      <w:r xmlns:wp="http://schemas.openxmlformats.org/drawingml/2010/wordprocessingDrawing" xmlns:w15="http://schemas.microsoft.com/office/word/2012/wordml">
        <w:rPr>
          <w:rFonts w:ascii="Arial" w:hAnsi="Arial" w:cs="Arial"/>
          <w:sz w:val="22"/>
          <w:szCs w:val="22"/>
        </w:rPr>
        <w:t xml:space="preserve">[PL 2023, c. 679, Pt. A,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 and</w:t>
      </w:r>
    </w:p>
    <w:p>
      <w:pPr>
        <w:jc w:val="both"/>
        <w:spacing w:before="100" w:after="0"/>
        <w:ind w:start="1080"/>
      </w:pPr>
      <w:r>
        <w:rPr/>
        <w:t>(</w:t>
        <w:t>2</w:t>
        <w:t xml:space="preserve">)  </w:t>
      </w:r>
      <w:r>
        <w:rPr/>
      </w:r>
      <w:r>
        <w:t xml:space="preserve">Department of Marine Resources in 2029.</w:t>
      </w:r>
      <w:r>
        <w:t xml:space="preserve">  </w:t>
      </w:r>
      <w:r xmlns:wp="http://schemas.openxmlformats.org/drawingml/2010/wordprocessingDrawing" xmlns:w15="http://schemas.microsoft.com/office/word/2012/wordml">
        <w:rPr>
          <w:rFonts w:ascii="Arial" w:hAnsi="Arial" w:cs="Arial"/>
          <w:sz w:val="22"/>
          <w:szCs w:val="22"/>
        </w:rPr>
        <w:t xml:space="preserve">[PL 2023, c. 511,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A, §2 (RP).]</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511, §1 (AMD); PL 2023, c. 679, Pt. A, §§1, 2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PL 2023, c. 511, §1 (AMD). PL 2023, c. 679,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Scheduling guideline for review of agencies or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§959. SCHEDULING GUIDELINE FOR REVIEW OF AGENCIES OR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