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157</w:t>
      </w:r>
    </w:p>
    <w:p>
      <w:pPr>
        <w:jc w:val="center"/>
        <w:ind w:start="360"/>
        <w:spacing w:before="300" w:after="300"/>
      </w:pPr>
      <w:r>
        <w:rPr>
          <w:b/>
        </w:rPr>
        <w:t xml:space="preserve">PARKS, TREES AND PLAYGROUNDS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ENERGY COMMISSIONERS</w:t>
      </w:r>
    </w:p>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jc w:val="center"/>
        <w:ind w:start="360"/>
        <w:spacing w:before="300" w:after="300"/>
      </w:pPr>
      <w:r>
        <w:rPr>
          <w:b/>
        </w:rPr>
        <w:t>SUBCHAPTER</w:t>
        <w:t xml:space="preserve"> </w:t>
        <w:t>4</w:t>
      </w:r>
    </w:p>
    <w:p>
      <w:pPr>
        <w:jc w:val="center"/>
        <w:ind w:start="360"/>
        <w:spacing w:before="300" w:after="300"/>
      </w:pPr>
      <w:r>
        <w:rPr>
          <w:b/>
        </w:rPr>
        <w:t xml:space="preserve">PUBLIC SHADE TREES</w:t>
      </w:r>
    </w:p>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FUNDS</w:t>
      </w:r>
    </w:p>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157. PARKS, TREES AND PLAYGROUNDS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157. PARKS, TREES AND PLAYGROUNDS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157. PARKS, TREES AND PLAYGROUNDS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