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and through 2024, and on or before March 1st annually thereafter, the commissioner shall report to the joint standing committees of the Legislature having jurisdiction over taxation matters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 municipality in this State in which the business's primary place of business is located and business type, including the parent company of the business, if applicable, of each qualified Pine Tree Development Zone business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2023, c. 631,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§1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PL 2023, c. 631, §1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