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Charter revisions, adoptions, procedure</w:t>
      </w:r>
    </w:p>
    <w:p>
      <w:pPr>
        <w:jc w:val="both"/>
        <w:spacing w:before="100" w:after="0"/>
        <w:ind w:start="360"/>
        <w:ind w:firstLine="360"/>
      </w:pPr>
      <w:r>
        <w:rPr>
          <w:b/>
        </w:rPr>
        <w:t>1</w:t>
        <w:t xml:space="preserve">.  </w:t>
      </w:r>
      <w:r>
        <w:rPr>
          <w:b/>
        </w:rPr>
        <w:t xml:space="preserve">Municipal officers.</w:t>
        <w:t xml:space="preserve"> </w:t>
      </w:r>
      <w:r>
        <w:t xml:space="preserve"> </w:t>
      </w:r>
      <w:r>
        <w:t xml:space="preserve">The municipal officers may determine that the revision of the municipal charter be considered or that adoption of a new municipal charter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the municipality at the last gubernatorial election, but in no case less than 10, the municipal officers, by order, shall provide for the establishment of a charter commission for the revision of the municipal charter or the preparation of a new municipal charter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set out in </w:t>
      </w:r>
      <w:r>
        <w:t>subsection 2</w:t>
      </w:r>
      <w:r>
        <w:t xml:space="preserve">.</w:t>
      </w:r>
    </w:p>
    <w:p>
      <w:pPr>
        <w:jc w:val="both"/>
        <w:spacing w:before="100" w:after="0"/>
        <w:ind w:start="720"/>
      </w:pPr>
      <w:r>
        <w:rPr/>
        <w:t>A</w:t>
        <w:t xml:space="preserve">.  </w:t>
      </w:r>
      <w:r>
        <w:rPr/>
      </w:r>
      <w:r>
        <w:t xml:space="preserve">Any 5 voters of the municipality may file an affidavit with the municipal clerk stating:</w:t>
      </w:r>
    </w:p>
    <w:p>
      <w:pPr>
        <w:jc w:val="both"/>
        <w:spacing w:before="100" w:after="0"/>
        <w:ind w:start="1080"/>
      </w:pPr>
      <w:r>
        <w:rPr/>
        <w:t>(</w:t>
        <w:t>1</w:t>
        <w:t xml:space="preserve">)  </w:t>
      </w:r>
      <w:r>
        <w:rPr/>
      </w:r>
      <w:r>
        <w:t xml:space="preserve">That the 5 voters will constitute the petitioners' committee;</w:t>
      </w:r>
    </w:p>
    <w:p>
      <w:pPr>
        <w:jc w:val="both"/>
        <w:spacing w:before="100" w:after="0"/>
        <w:ind w:start="1080"/>
      </w:pPr>
      <w:r>
        <w:rPr/>
        <w:t>(</w:t>
        <w:t>2</w:t>
        <w:t xml:space="preserve">)  </w:t>
      </w:r>
      <w:r>
        <w:rPr/>
      </w:r>
      <w:r>
        <w:t xml:space="preserve">The names and addresses of the 5 voters;</w:t>
      </w:r>
    </w:p>
    <w:p>
      <w:pPr>
        <w:jc w:val="both"/>
        <w:spacing w:before="100" w:after="0"/>
        <w:ind w:start="1080"/>
      </w:pPr>
      <w:r>
        <w:rPr/>
        <w:t>(</w:t>
        <w:t>3</w:t>
        <w:t xml:space="preserve">)  </w:t>
      </w:r>
      <w:r>
        <w:rPr/>
      </w:r>
      <w:r>
        <w:t xml:space="preserve">The address to which all notices to the committee are to be sent; and</w:t>
      </w:r>
    </w:p>
    <w:p>
      <w:pPr>
        <w:jc w:val="both"/>
        <w:spacing w:before="100" w:after="0"/>
        <w:ind w:start="1080"/>
      </w:pPr>
      <w:r>
        <w:rPr/>
        <w:t>(</w:t>
        <w:t>4</w:t>
        <w:t xml:space="preserve">)  </w:t>
      </w:r>
      <w:r>
        <w:rPr/>
      </w:r>
      <w:r>
        <w:t xml:space="preserve">That the 5 voters will circulate the petition and file it in proper form.</w:t>
      </w:r>
    </w:p>
    <w:p>
      <w:pPr>
        <w:jc w:val="both"/>
        <w:spacing w:before="100" w:after="0"/>
        <w:ind w:start="720"/>
      </w:pPr>
      <w:r>
        <w:rPr/>
      </w:r>
      <w:r>
        <w:rPr/>
      </w:r>
      <w:r>
        <w:t xml:space="preserve">The petitioners' committee may designate additional voters of the municipality, who are not members of the committee, to circulate the petition.</w:t>
      </w:r>
    </w:p>
    <w:p>
      <w:pPr>
        <w:jc w:val="both"/>
        <w:spacing w:before="100" w:after="0"/>
        <w:ind w:start="720"/>
      </w:pPr>
      <w:r>
        <w:rPr/>
      </w:r>
      <w:r>
        <w:rPr/>
      </w:r>
      <w:r>
        <w:t xml:space="preserve">Promptly after the affidavit is filed, the clerk shall issue petition blanks to the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clerk shall prepare the petition forms at the municipality's expense.  The petition forms must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must carry the following legend in bold lettering at the top of the face of each form.</w:t>
      </w:r>
    </w:p>
    <w:p xmlns:wp="http://schemas.openxmlformats.org/drawingml/2010/wordprocessingDrawing" xmlns:w15="http://schemas.microsoft.com/office/word/2012/wordml">
      <w:pPr>
        <w:spacing w:before="100" w:after="100"/>
        <w:ind w:start="1080"/>
        <w:jc w:val="center"/>
      </w:pPr>
      <w:r>
        <w:t xml:space="preserve">"Municipality of ...."</w:t>
      </w:r>
    </w:p>
    <w:p xmlns:wp="http://schemas.openxmlformats.org/drawingml/2010/wordprocessingDrawing" xmlns:w15="http://schemas.microsoft.com/office/word/2012/wordml">
      <w:pPr>
        <w:spacing w:before="100" w:after="100"/>
        <w:ind w:start="1440"/>
      </w:pPr>
      <w:r>
        <w:t xml:space="preserve">In the instance of preparing a new charter, the lettering at the top of the form must read: "Each of the undersigned voters respectfully requests the municipal officers to establish a Charter Commission for the purpose of preparing a New Municipal Charter."</w:t>
      </w:r>
    </w:p>
    <w:p xmlns:wp="http://schemas.openxmlformats.org/drawingml/2010/wordprocessingDrawing" xmlns:w15="http://schemas.microsoft.com/office/word/2012/wordml">
      <w:pPr>
        <w:spacing w:before="100" w:after="100"/>
        <w:ind w:start="1440"/>
      </w:pPr>
      <w:r>
        <w:t xml:space="preserve">In the instance of revising a charter, the lettering at the top of the form must read:  "Each of the undersigned voters respectfully requests the municipal officers to establish a Charter Commission for the purpose of revising the Municipal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A petition may not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must have printed on its back an affidavit to be executed by the circulator, stating:</w:t>
      </w:r>
    </w:p>
    <w:p>
      <w:pPr>
        <w:jc w:val="both"/>
        <w:spacing w:before="100" w:after="0"/>
        <w:ind w:start="1440"/>
      </w:pPr>
      <w:r>
        <w:rPr/>
        <w:t>(</w:t>
        <w:t>a</w:t>
        <w:t xml:space="preserve">)  </w:t>
      </w:r>
      <w:r>
        <w:rPr/>
      </w:r>
      <w:r>
        <w:t xml:space="preserve">That the circulator personally circulated the form;</w:t>
      </w:r>
    </w:p>
    <w:p>
      <w:pPr>
        <w:jc w:val="both"/>
        <w:spacing w:before="100" w:after="0"/>
        <w:ind w:start="1440"/>
      </w:pPr>
      <w:r>
        <w:rPr/>
        <w:t>(</w:t>
        <w:t>b</w:t>
        <w:t xml:space="preserve">)  </w:t>
      </w:r>
      <w:r>
        <w:rPr/>
      </w:r>
      <w:r>
        <w:t xml:space="preserve">The number of signatures on the form;</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genuine signatures of the persons whose names they purport to be;</w:t>
      </w:r>
    </w:p>
    <w:p>
      <w:pPr>
        <w:jc w:val="both"/>
        <w:spacing w:before="100" w:after="0"/>
        <w:ind w:start="1440"/>
      </w:pPr>
      <w:r>
        <w:rPr/>
        <w:t>(</w:t>
        <w:t>e</w:t>
        <w:t xml:space="preserve">)  </w:t>
      </w:r>
      <w:r>
        <w:rPr/>
      </w:r>
      <w:r>
        <w:t xml:space="preserve">That each signer has signed no more than one petition; and</w:t>
      </w:r>
    </w:p>
    <w:p>
      <w:pPr>
        <w:jc w:val="both"/>
        <w:spacing w:before="100" w:after="0"/>
        <w:ind w:start="1440"/>
      </w:pPr>
      <w:r>
        <w:rPr/>
        <w:t>(</w:t>
        <w:t>f</w:t>
        <w:t xml:space="preserve">)  </w:t>
      </w:r>
      <w:r>
        <w:rPr/>
      </w:r>
      <w:r>
        <w:t xml:space="preserve">That each signer had an opportunity to read the petition before signing.</w:t>
      </w:r>
      <w:r>
        <w:t xml:space="preserve">  </w:t>
      </w:r>
      <w:r xmlns:wp="http://schemas.openxmlformats.org/drawingml/2010/wordprocessingDrawing" xmlns:w15="http://schemas.microsoft.com/office/word/2012/wordml">
        <w:rPr>
          <w:rFonts w:ascii="Arial" w:hAnsi="Arial" w:cs="Arial"/>
          <w:sz w:val="22"/>
          <w:szCs w:val="22"/>
        </w:rPr>
        <w:t xml:space="preserve">[PL 2019, c. 149, §1 (AMD).]</w:t>
      </w:r>
    </w:p>
    <w:p>
      <w:pPr>
        <w:jc w:val="both"/>
        <w:spacing w:before="100" w:after="0"/>
        <w:ind w:start="720"/>
      </w:pPr>
      <w:r>
        <w:rPr/>
        <w:t>C</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§1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municipal officers.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this notice of intention is filed, the committee may file a supplementary petition to correct the deficiencies in the original.  This supplementary petition, in form and content, must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 original or supplementary petition has been certified insufficient, the committee, within 2 days after receiving the copy of the clerk's certificate, may file a request with the municipal officers for review.</w:t>
      </w:r>
    </w:p>
    <w:p>
      <w:pPr>
        <w:jc w:val="both"/>
        <w:spacing w:before="100" w:after="0"/>
        <w:ind w:start="720"/>
      </w:pPr>
      <w:r>
        <w:rPr/>
      </w:r>
      <w:r>
        <w:rPr/>
      </w:r>
      <w:r>
        <w:t xml:space="preserve">The municipal officers shall inspect the petitions in substantially the same form and manner as a recount under </w:t>
      </w:r>
      <w:r>
        <w:t>section 2531‑B</w:t>
      </w:r>
      <w:r>
        <w:t xml:space="preserve"> and shall make due certificate of that inspection.  The municipal officers shall file a copy of that certificate with the municipal clerk and mail a copy to the committee.  The certificate of the municipal officers is a final determination of the sufficiency of the petitions.</w:t>
      </w:r>
      <w:r>
        <w:t xml:space="preserve">  </w:t>
      </w:r>
      <w:r xmlns:wp="http://schemas.openxmlformats.org/drawingml/2010/wordprocessingDrawing" xmlns:w15="http://schemas.microsoft.com/office/word/2012/wordml">
        <w:rPr>
          <w:rFonts w:ascii="Arial" w:hAnsi="Arial" w:cs="Arial"/>
          <w:sz w:val="22"/>
          <w:szCs w:val="22"/>
        </w:rPr>
        <w:t xml:space="preserve">[PL 2011, c. 255, §1 (AMD).]</w:t>
      </w:r>
    </w:p>
    <w:p>
      <w:pPr>
        <w:jc w:val="both"/>
        <w:spacing w:before="100" w:after="0"/>
        <w:ind w:start="720"/>
      </w:pPr>
      <w:r>
        <w:rPr/>
        <w:t>D</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 (AMD).]</w:t>
      </w:r>
    </w:p>
    <w:p>
      <w:pPr>
        <w:jc w:val="both"/>
        <w:spacing w:before="100" w:after="100"/>
        <w:ind w:start="360"/>
        <w:ind w:firstLine="360"/>
      </w:pPr>
      <w:r>
        <w:rPr>
          <w:b/>
        </w:rPr>
        <w:t>5</w:t>
        <w:t xml:space="preserve">.  </w:t>
      </w:r>
      <w:r>
        <w:rPr>
          <w:b/>
        </w:rPr>
        <w:t xml:space="preserve">Election procedure.</w:t>
        <w:t xml:space="preserve"> </w:t>
      </w:r>
      <w:r>
        <w:t xml:space="preserve"> </w:t>
      </w:r>
      <w:r>
        <w:t xml:space="preserve">Within 30 days after the adoption of an order under </w:t>
      </w:r>
      <w:r>
        <w:t>subsection 1</w:t>
      </w:r>
      <w:r>
        <w:t xml:space="preserve"> or the receipt of a certificate or final determination of sufficiency under </w:t>
      </w:r>
      <w:r>
        <w:t>subsection 4</w:t>
      </w:r>
      <w:r>
        <w:t xml:space="preserve">, the municipal officers shall by order submit the question for the establishment of a charter commission to the voters at the next regular or special municipal election held at least 90 days after this order.</w:t>
      </w:r>
    </w:p>
    <w:p>
      <w:pPr>
        <w:jc w:val="both"/>
        <w:spacing w:before="100" w:after="0"/>
        <w:ind w:start="720"/>
      </w:pPr>
      <w:r>
        <w:rPr/>
        <w:t>A</w:t>
        <w:t xml:space="preserve">.  </w:t>
      </w:r>
      <w:r>
        <w:rPr/>
      </w:r>
      <w:r>
        <w:t xml:space="preserve">The question to be submitted to the voters must be in substance as follows:</w:t>
      </w:r>
    </w:p>
    <w:p xmlns:wp="http://schemas.openxmlformats.org/drawingml/2010/wordprocessingDrawing" xmlns:w15="http://schemas.microsoft.com/office/word/2012/wordml">
      <w:pPr>
        <w:spacing w:before="100" w:after="100"/>
        <w:ind w:start="720"/>
      </w:pPr>
      <w:r>
        <w:t xml:space="preserve">In the instance of establishing a new charter, the question must read: "Shall a Charter Commission be established for the purpose of establishing a New Municipal Charter?"</w:t>
      </w:r>
    </w:p>
    <w:p xmlns:wp="http://schemas.openxmlformats.org/drawingml/2010/wordprocessingDrawing" xmlns:w15="http://schemas.microsoft.com/office/word/2012/wordml">
      <w:pPr>
        <w:spacing w:before="100" w:after="100"/>
        <w:ind w:start="720"/>
      </w:pPr>
      <w:r>
        <w:t xml:space="preserve">In the instance of revising a charter, the question must read: "Shall a Charter Commission be established for the purpose of revising the Municipal Charter?"</w:t>
      </w:r>
      <w:r>
        <w:t xml:space="preserve">  </w:t>
      </w: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§4 (AMD). PL 2011, c. 255, §1 (AMD). PL 2019, c. 149,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Charter revisions, adoptions,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Charter revisions, adoptions,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§2102. CHARTER REVISIONS, ADOPTIONS,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