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General provisions</w:t>
      </w:r>
    </w:p>
    <w:p>
      <w:pPr>
        <w:jc w:val="both"/>
        <w:spacing w:before="100" w:after="0"/>
        <w:ind w:start="360"/>
        <w:ind w:firstLine="360"/>
      </w:pPr>
      <w:r>
        <w:rPr>
          <w:b/>
        </w:rPr>
        <w:t>1</w:t>
        <w:t xml:space="preserve">.  </w:t>
      </w:r>
      <w:r>
        <w:rPr>
          <w:b/>
        </w:rPr>
        <w:t xml:space="preserve">Other legislation not precluded.</w:t>
        <w:t xml:space="preserve"> </w:t>
      </w:r>
      <w:r>
        <w:t xml:space="preserve"> </w:t>
      </w:r>
      <w:r>
        <w:t xml:space="preserve">This chapter does not preclude the introduction of any legislation concerning quasi-municipal corporation or district charter amendments or revisions.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Effect of contrary charter provisions.</w:t>
        <w:t xml:space="preserve"> </w:t>
      </w:r>
      <w:r>
        <w:t xml:space="preserve"> </w:t>
      </w:r>
      <w:r>
        <w:t xml:space="preserve">Any portion of the charter of any quasi-municipal corporation or district which is contrary to this chapter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Trustees' compensation; water districts and sewer districts.</w:t>
        <w:t xml:space="preserve"> </w:t>
      </w:r>
      <w:r>
        <w:t xml:space="preserve"> </w:t>
      </w:r>
      <w:r>
        <w:t xml:space="preserve">This chapter does not affect the procedures concerning changes in the compensation of trustees of water districts and sewer districts as provided in </w:t>
      </w:r>
      <w:r>
        <w:t>Title 35‑A, section 6410, subsection 7</w:t>
      </w:r>
      <w:r>
        <w:t xml:space="preserve"> and </w:t>
      </w:r>
      <w:r>
        <w:t>Title 38, section 1036,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1995, c. 616, §1 (AMD). PL 2013, c. 555,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§2356.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§2356.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