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§2527. Alternative nomination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Alternative nomination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§2527. ALTERNATIVE NOMINATION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