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Abatement of nuisances</w:t>
      </w:r>
    </w:p>
    <w:p>
      <w:pPr>
        <w:jc w:val="both"/>
        <w:spacing w:before="100" w:after="100"/>
        <w:ind w:start="360"/>
        <w:ind w:firstLine="360"/>
      </w:pPr>
      <w:r>
        <w:rPr/>
      </w:r>
      <w:r>
        <w:rPr/>
      </w:r>
      <w:r>
        <w:t xml:space="preserve">The municipal officers of a municipality may, in the municipality's name, file a complaint in any court of competent jurisdiction requesting the abatement of any public nuisance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§3104. Abatement of nuisances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Abatement of nuisances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§3104. ABATEMENT OF NUISANCES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