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3155</w:t>
        <w:t xml:space="preserve">.  </w:t>
      </w:r>
      <w:r>
        <w:rPr>
          <w:b/>
        </w:rPr>
        <w:t xml:space="preserve">Municipal liability; demolished buildings</w:t>
      </w:r>
    </w:p>
    <w:p>
      <w:pPr>
        <w:jc w:val="both"/>
        <w:spacing w:before="100" w:after="100"/>
        <w:ind w:start="360"/>
        <w:ind w:firstLine="360"/>
      </w:pPr>
      <w:r>
        <w:rPr/>
      </w:r>
      <w:r>
        <w:rPr/>
      </w:r>
      <w:r>
        <w:t xml:space="preserve">If the pulling down or demolition of any structure or appurtenance, except that in which the fire originated, is used to stop the spread of fire, the owner of that structure or appurtenance may recover reasonable compensation for its destruction from the municipality in a civil action.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§3155. Municipal liability; demolished buildings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§3155. Municipal liability; demolished buildings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§3155. MUNICIPAL LIABILITY; DEMOLISHED BUILDINGS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