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3406-A</w:t>
        <w:t xml:space="preserve">.  </w:t>
      </w:r>
      <w:r>
        <w:rPr>
          <w:b/>
        </w:rPr>
        <w:t xml:space="preserve">Landlord access to tenant bill payment information</w:t>
      </w:r>
    </w:p>
    <w:p>
      <w:pPr>
        <w:jc w:val="both"/>
        <w:spacing w:before="100" w:after="100"/>
        <w:ind w:start="360"/>
        <w:ind w:firstLine="360"/>
      </w:pPr>
      <w:r>
        <w:rPr/>
      </w:r>
      <w:r>
        <w:rPr/>
      </w:r>
      <w:r>
        <w:t xml:space="preserve">If a tenant is billed for municipal sewer or storm water disposal system service provided to property rented by the tenant and nonpayment for the service may result in a lien against the property, the municipality shall provide to the landlord or the landlord's agent, on request of the landlord or the landlord's agent, the current status of the tenant's sewer or storm water disposal system service account, including any amounts due or overdue.  For purposes of this section, "storm water disposal system" has the same meaning as in </w:t>
      </w:r>
      <w:r>
        <w:t>section 3406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197,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306, §1 (NEW). PL 2013, c. 197,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§3406-A. Landlord access to tenant bill payment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§3406-A. Landlord access to tenant bill payment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§3406-A. LANDLORD ACCESS TO TENANT BILL PAYMENT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