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3931</w:t>
        <w:t xml:space="preserve">.  </w:t>
      </w:r>
      <w:r>
        <w:rPr>
          <w:b/>
        </w:rPr>
        <w:t xml:space="preserve">License; revocation; objections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municipal officers of any municipality may license any reputable person to maintain a vehicle for the sale of food in such part of any public way and during such hours as the licensing authority designates.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Conditions.</w:t>
        <w:t xml:space="preserve"> </w:t>
      </w:r>
      <w:r>
        <w:t xml:space="preserve"> </w:t>
      </w:r>
      <w:r>
        <w:t xml:space="preserve">No other license may be required to operate a lunch wagon.  The municipal officers may set a license fee which must be paid annually before the license is issued.  A license may not be issued if the lunch wagon will inconvenience public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Revocation.</w:t>
        <w:t xml:space="preserve"> </w:t>
      </w:r>
      <w:r>
        <w:t xml:space="preserve"> </w:t>
      </w:r>
      <w:r>
        <w:t xml:space="preserve">For reasonable cause, the licensing authority may revoke any license issued under this section as provided in </w:t>
      </w:r>
      <w:r>
        <w:t>section 3814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§3931. License; revocation; objections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§3931. License; revocation; objections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§3931. LICENSE; REVOCATION; OBJECTIONS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