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5215</w:t>
        <w:t xml:space="preserve">.  </w:t>
      </w:r>
      <w:r>
        <w:rPr>
          <w:b/>
        </w:rPr>
        <w:t xml:space="preserve">Dissolution of capital improvement district</w:t>
      </w:r>
    </w:p>
    <w:p>
      <w:pPr>
        <w:jc w:val="both"/>
        <w:spacing w:before="100" w:after="100"/>
        <w:ind w:start="360"/>
        <w:ind w:firstLine="360"/>
      </w:pPr>
      <w:r>
        <w:rPr/>
      </w:r>
      <w:r>
        <w:rPr/>
      </w:r>
      <w:r>
        <w:t xml:space="preserve">A capital improvement district created under this chapter may not be dissolved until the debt created by the improvements is finally discharged and the special assessments levied for the purpose of providing for those improvements have been paid or otherwise satisfied.  The municipal officers shall dissolve a capital improvement district upon certification of the discharge of debt. The certification of the discharge of debt must be presented to the municipal officers by the municipal treasurer. At a minimum, the certification must include an attestation by the municipal treasurer that all assessed shares levied for the improvements in a capital improvement district have been paid in full or a property tax lien has been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§5215. Dissolution of capital improvement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§5215. Dissolution of capital improvement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§5215. DISSOLUTION OF CAPITAL IMPROVEMENT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