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§5953-E. Maine School Facilities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§5953-E. Maine School Facilities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§5953-E. MAINE SCHOOL FACILITIES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