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§5959. Rules;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§5959. Rules;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§5959. RULES;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