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6021</w:t>
        <w:t xml:space="preserve">.  </w:t>
      </w:r>
      <w:r>
        <w:rPr>
          <w:b/>
        </w:rPr>
        <w:t xml:space="preserve">Presumption of validity</w:t>
      </w:r>
    </w:p>
    <w:p>
      <w:pPr>
        <w:jc w:val="both"/>
        <w:spacing w:before="100" w:after="100"/>
        <w:ind w:start="360"/>
        <w:ind w:firstLine="360"/>
      </w:pPr>
      <w:r>
        <w:rPr/>
      </w:r>
      <w:r>
        <w:rPr/>
      </w:r>
      <w:r>
        <w:t xml:space="preserve">After issuance, all bonds or notes of the bank are conclusively presumed to be fully authorized and issued under the laws of the State, and any person or governmental unit is estopped from questioning their authorization, sale, issuance, execution or delivery by the bank.</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To the extent that this chapter is inconsistent with or in conflict with any private or special Act or the charter of any district or other quasi-municipal corporation, this chapter shall be effective and such other private or special Act or charter of any district or other quasi-municipal corporation does not apply.  This chapter is not intended to affect the general laws relating to municipalities, </w:t>
      </w:r>
      <w:r>
        <w:t>Part 2</w:t>
      </w:r>
      <w:r>
        <w:t xml:space="preserve">, in any way.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§6021. Presumption of validity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§6021. Presumption of validity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§6021. PRESUMPTION OF VALIDITY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