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6304</w:t>
        <w:t xml:space="preserve">.  </w:t>
      </w:r>
      <w:r>
        <w:rPr>
          <w:b/>
        </w:rPr>
        <w:t xml:space="preserve">Parks</w:t>
      </w:r>
    </w:p>
    <w:p>
      <w:pPr>
        <w:jc w:val="both"/>
        <w:spacing w:before="100" w:after="100"/>
        <w:ind w:start="360"/>
        <w:ind w:firstLine="360"/>
      </w:pPr>
      <w:r>
        <w:rPr/>
      </w:r>
      <w:r>
        <w:rPr/>
      </w:r>
      <w:r>
        <w:t xml:space="preserve">Village corporations may take and hold lands by devise or gift, in trust for playground or park purposes, and may expend not more than 10% of the money apportioned to the village corporation, under its charter, for the improvement and care of that land.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Park commissioners.</w:t>
        <w:t xml:space="preserve"> </w:t>
      </w:r>
      <w:r>
        <w:t xml:space="preserve"> </w:t>
      </w:r>
      <w:r>
        <w:t xml:space="preserve">A village corporation has the powers of a municipality under </w:t>
      </w:r>
      <w:r>
        <w:t>section 3264</w:t>
      </w:r>
      <w:r>
        <w:t xml:space="preserve">, regarding the appointment of park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§6304. Parks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§6304. Parks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§6304. PARKS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