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908</w:t>
        <w:t xml:space="preserve">.  </w:t>
      </w:r>
      <w:r>
        <w:rPr>
          <w:b/>
        </w:rPr>
        <w:t xml:space="preserve">Ambulance service in the plantations and unorganized territories of Piscataquis County</w:t>
      </w:r>
    </w:p>
    <w:p>
      <w:pPr>
        <w:jc w:val="both"/>
        <w:spacing w:before="100" w:after="100"/>
        <w:ind w:start="360"/>
        <w:ind w:firstLine="360"/>
      </w:pPr>
      <w:r>
        <w:rPr/>
      </w:r>
      <w:r>
        <w:rPr/>
      </w:r>
      <w:r>
        <w:t xml:space="preserve">The county commissioners of Piscataquis County may expend funds for ambulance service in the plantations and unorganized territories of that county.  Those funds may be raised by tax levy in those plantations and territories.  The commissioners may contract with either a profit or nonprofit agency or a municipality to provide ambulance service and may enter into reciprocal agreements with private, public and municipal agencies for ambulance service.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§908. Ambulance service in the plantations and unorganized territories of Piscataquis County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§908. Ambulance service in the plantations and unorganized territories of Piscataquis County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§908. AMBULANCE SERVICE IN THE PLANTATIONS AND UNORGANIZED TERRITORIES OF PISCATAQUIS COUNTY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