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RIGHTS OF FEDERALLY RECOGNIZED INDIAN TRIBES</w:t>
      </w:r>
    </w:p>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RIGHTS OF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RIGHTS OF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701. RIGHTS OF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