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§6202. Legislative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 Legislative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§6202. LEGISLATIVE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