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ESTATES OF DECEASED PARTNERS</w:t>
      </w:r>
    </w:p>
    <w:p>
      <w:pPr>
        <w:jc w:val="both"/>
        <w:spacing w:before="100" w:after="100"/>
        <w:ind w:start="1080" w:hanging="720"/>
      </w:pPr>
      <w:r>
        <w:rPr>
          <w:b/>
        </w:rPr>
        <w:t>§</w:t>
        <w:t>101</w:t>
        <w:t xml:space="preserve">.  </w:t>
      </w:r>
      <w:r>
        <w:rPr>
          <w:b/>
        </w:rPr>
        <w:t xml:space="preserve">Property appraised and administered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102</w:t>
        <w:t xml:space="preserve">.  </w:t>
      </w:r>
      <w:r>
        <w:rPr>
          <w:b/>
        </w:rPr>
        <w:t xml:space="preserve">Bond;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103</w:t>
        <w:t xml:space="preserve">.  </w:t>
      </w:r>
      <w:r>
        <w:rPr>
          <w:b/>
        </w:rPr>
        <w:t xml:space="preserve">Liability, as if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104</w:t>
        <w:t xml:space="preserve">.  </w:t>
      </w:r>
      <w:r>
        <w:rPr>
          <w:b/>
        </w:rPr>
        <w:t xml:space="preserve">Administrator to give bond if survivor does not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105</w:t>
        <w:t xml:space="preserve">.  </w:t>
      </w:r>
      <w:r>
        <w:rPr>
          <w:b/>
        </w:rPr>
        <w:t xml:space="preserve">Survivor to produce property for appraisal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106</w:t>
        <w:t xml:space="preserve">.  </w:t>
      </w:r>
      <w:r>
        <w:rPr>
          <w:b/>
        </w:rPr>
        <w:t xml:space="preserve">Commissioners on disputed claims; insolvent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107</w:t>
        <w:t xml:space="preserve">.  </w:t>
      </w:r>
      <w:r>
        <w:rPr>
          <w:b/>
        </w:rPr>
        <w:t xml:space="preserve">Sale of real estate when partner deceased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108</w:t>
        <w:t xml:space="preserve">.  </w:t>
      </w:r>
      <w:r>
        <w:rPr>
          <w:b/>
        </w:rPr>
        <w:t xml:space="preserve">Death of administrator on partnership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ESTATES OF DECEASED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ESTATES OF DECEASED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5. ESTATES OF DECEASED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