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807-A</w:t>
        <w:t xml:space="preserve">.  </w:t>
      </w:r>
      <w:r>
        <w:rPr>
          <w:b/>
        </w:rPr>
        <w:t xml:space="preserve">Registered agent of limited liability partnership</w:t>
      </w:r>
    </w:p>
    <w:p>
      <w:pPr>
        <w:jc w:val="both"/>
        <w:spacing w:before="100" w:after="100"/>
        <w:ind w:start="360"/>
        <w:ind w:firstLine="360"/>
      </w:pPr>
      <w:r>
        <w:rPr/>
      </w:r>
      <w:r>
        <w:rPr/>
      </w:r>
      <w:r>
        <w:t xml:space="preserve">Each registered limited liability partnership must have and shall continuously maintain a registered agent in this State as defined in </w:t>
      </w:r>
      <w:r>
        <w:t>Title 5, chapter 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535, Pt. B,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535, Pt. B,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§807-A. Registered agent of limited liability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§807-A. Registered agent of limited liability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§807-A. REGISTERED AGENT OF LIMITED LIABILITY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