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Compensation and expenses</w:t>
      </w:r>
    </w:p>
    <w:p>
      <w:pPr>
        <w:jc w:val="both"/>
        <w:spacing w:before="100" w:after="100"/>
        <w:ind w:start="360"/>
        <w:ind w:firstLine="360"/>
      </w:pPr>
      <w:r>
        <w:rPr/>
      </w:r>
      <w:r>
        <w:rPr/>
      </w:r>
      <w:r>
        <w:t xml:space="preserve">Members of the board shall be compensated according to the provisions of </w:t>
      </w:r>
      <w:r>
        <w:t>Title 5, chapter 379</w:t>
      </w:r>
      <w:r>
        <w:t xml:space="preserve">.  Clerical expenses shall not be allowed any member of the board, except as provided in </w:t>
      </w:r>
      <w:r>
        <w:t>section 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§205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§205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§1303.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