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 Identification of persons prescribing medicines on hospital prescription blanks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 IDENTIFICATION OF PERSONS PRESCRIBING MEDICINES ON HOSPITAL PRESCRIPTION BLANKS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