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14049-F</w:t>
        <w:t xml:space="preserve">.  </w:t>
      </w:r>
      <w:r>
        <w:rPr>
          <w:b/>
        </w:rPr>
        <w:t xml:space="preserve">Statement of fees</w:t>
      </w:r>
    </w:p>
    <w:p>
      <w:pPr>
        <w:jc w:val="both"/>
        <w:spacing w:before="100" w:after="100"/>
        <w:ind w:start="360"/>
        <w:ind w:firstLine="360"/>
      </w:pPr>
      <w:r>
        <w:rPr/>
      </w:r>
      <w:r>
        <w:rPr/>
      </w:r>
      <w:r>
        <w:t xml:space="preserve">When reporting fees to a client, an appraisal management company shall separately indicate the fees paid to an appraiser for the completion of an appraisal service and the fees charged by the appraisal management company to the client for appraisal management services.</w:t>
      </w:r>
      <w:r>
        <w:t xml:space="preserve">  </w:t>
      </w:r>
      <w:r xmlns:wp="http://schemas.openxmlformats.org/drawingml/2010/wordprocessingDrawing" xmlns:w15="http://schemas.microsoft.com/office/word/2012/wordml">
        <w:rPr>
          <w:rFonts w:ascii="Arial" w:hAnsi="Arial" w:cs="Arial"/>
          <w:sz w:val="22"/>
          <w:szCs w:val="22"/>
        </w:rPr>
        <w:t xml:space="preserve">[PL 2017, c. 475, Pt. D, §1 (REEN).]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270, §1 (NEW). PL 2017, c. 475, Pt. D, §1 (REEN). MRSA T. 32 §14049-K, sub-§1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§14049-F. Statement of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§14049-F. Statement of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§14049-F. STATEMENT OF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