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14226</w:t>
        <w:t xml:space="preserve">.  </w:t>
      </w:r>
      <w:r>
        <w:rPr>
          <w:b/>
        </w:rPr>
        <w:t xml:space="preserve">Qualifications; cosmetology</w:t>
      </w:r>
    </w:p>
    <w:p>
      <w:pPr>
        <w:jc w:val="both"/>
        <w:spacing w:before="100" w:after="100"/>
        <w:ind w:start="360"/>
        <w:ind w:firstLine="360"/>
      </w:pPr>
      <w:r>
        <w:rPr/>
      </w:r>
      <w:r>
        <w:rPr/>
      </w:r>
      <w:r>
        <w:t xml:space="preserve">A person is eligible to obtain a license under this chapter for the practice of cosmetology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cosmetology of 1,500 hours in not less than 9 months in a school licensed by the director or has experience in the practice of cosmetology as a trainee of 2,500 hours distributed over a period of at least 18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§17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§25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§§B16,17 (AMD). PL 1997, c. 210, §§24,27 (AMD). PL 2007, c. 402, Pt. HH, §12 (AMD). PL 2009, c. 369, Pt. B, §§17-19 (AMD). PL 2011, c. 286, Pt. M, §§16, 17 (AMD). PL 2019, c. 373,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§14226. Qualifications;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§14226. Qualifications;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§14226. QUALIFICATIONS;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